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30BB3" w14:textId="77777777" w:rsidR="00E47AA5" w:rsidRDefault="0032476C">
      <w:pPr>
        <w:pStyle w:val="ab"/>
        <w:tabs>
          <w:tab w:val="clear" w:pos="8306"/>
          <w:tab w:val="right" w:pos="7088"/>
          <w:tab w:val="right" w:pos="9781"/>
        </w:tabs>
        <w:spacing w:after="0"/>
        <w:rPr>
          <w:rFonts w:ascii="Arial" w:hAnsi="Arial" w:cs="Arial"/>
          <w:b/>
          <w:bCs/>
          <w:sz w:val="22"/>
          <w:lang w:val="en-US" w:eastAsia="zh-CN"/>
        </w:rPr>
      </w:pPr>
      <w:r>
        <w:rPr>
          <w:rFonts w:ascii="Arial" w:hAnsi="Arial" w:cs="Arial"/>
          <w:b/>
          <w:bCs/>
          <w:sz w:val="22"/>
        </w:rPr>
        <w:t>3GPP TSG RAN WG1 Meeting #</w:t>
      </w:r>
      <w:r>
        <w:rPr>
          <w:rFonts w:ascii="Arial" w:hAnsi="Arial" w:cs="Arial"/>
          <w:b/>
          <w:bCs/>
          <w:sz w:val="22"/>
          <w:lang w:val="en-US"/>
        </w:rPr>
        <w:t>1</w:t>
      </w:r>
      <w:r>
        <w:rPr>
          <w:rFonts w:ascii="Arial" w:hAnsi="Arial" w:cs="Arial" w:hint="eastAsia"/>
          <w:b/>
          <w:bCs/>
          <w:sz w:val="22"/>
          <w:lang w:val="en-US" w:eastAsia="zh-CN"/>
        </w:rPr>
        <w:t>21</w:t>
      </w:r>
      <w:r>
        <w:rPr>
          <w:rFonts w:ascii="Arial" w:hAnsi="Arial" w:cs="Arial"/>
          <w:b/>
          <w:bCs/>
          <w:sz w:val="22"/>
        </w:rPr>
        <w:tab/>
      </w:r>
      <w:r>
        <w:rPr>
          <w:rFonts w:ascii="Arial" w:hAnsi="Arial" w:cs="Arial"/>
          <w:b/>
          <w:bCs/>
          <w:sz w:val="22"/>
        </w:rPr>
        <w:tab/>
      </w:r>
      <w:r>
        <w:rPr>
          <w:rFonts w:ascii="Arial" w:hAnsi="Arial" w:cs="Arial"/>
          <w:b/>
          <w:bCs/>
          <w:sz w:val="22"/>
        </w:rPr>
        <w:tab/>
        <w:t>R1-</w:t>
      </w:r>
      <w:r>
        <w:rPr>
          <w:rFonts w:ascii="Arial" w:hAnsi="Arial" w:cs="Arial" w:hint="eastAsia"/>
          <w:b/>
          <w:bCs/>
          <w:sz w:val="22"/>
        </w:rPr>
        <w:t>250333</w:t>
      </w:r>
      <w:r>
        <w:rPr>
          <w:rFonts w:ascii="Arial" w:hAnsi="Arial" w:cs="Arial" w:hint="eastAsia"/>
          <w:b/>
          <w:bCs/>
          <w:sz w:val="22"/>
          <w:lang w:val="en-US" w:eastAsia="zh-CN"/>
        </w:rPr>
        <w:t>5</w:t>
      </w:r>
    </w:p>
    <w:p w14:paraId="3954ABDE" w14:textId="14CBC164" w:rsidR="00E47AA5" w:rsidRDefault="0032476C">
      <w:pPr>
        <w:pStyle w:val="ab"/>
        <w:tabs>
          <w:tab w:val="clear" w:pos="8306"/>
          <w:tab w:val="right" w:pos="7088"/>
          <w:tab w:val="right" w:pos="9781"/>
        </w:tabs>
        <w:spacing w:after="0"/>
        <w:rPr>
          <w:rFonts w:ascii="Arial" w:hAnsi="Arial" w:cs="Arial"/>
          <w:b/>
          <w:bCs/>
          <w:sz w:val="22"/>
        </w:rPr>
      </w:pPr>
      <w:r>
        <w:rPr>
          <w:rFonts w:ascii="Arial" w:hAnsi="Arial" w:cs="Arial"/>
          <w:b/>
          <w:bCs/>
          <w:sz w:val="22"/>
        </w:rPr>
        <w:t>St Julian’s, Malta</w:t>
      </w:r>
      <w:r>
        <w:rPr>
          <w:rFonts w:ascii="Arial" w:hAnsi="Arial" w:cs="Arial"/>
          <w:b/>
          <w:bCs/>
          <w:sz w:val="22"/>
          <w:lang w:val="en-US"/>
        </w:rPr>
        <w:t xml:space="preserve">, </w:t>
      </w:r>
      <w:r>
        <w:rPr>
          <w:rFonts w:ascii="Arial" w:hAnsi="Arial" w:cs="Arial"/>
          <w:b/>
          <w:bCs/>
          <w:sz w:val="22"/>
        </w:rPr>
        <w:t>19-23 May</w:t>
      </w:r>
      <w:r>
        <w:rPr>
          <w:rFonts w:ascii="Arial" w:hAnsi="Arial" w:cs="Arial"/>
          <w:b/>
          <w:bCs/>
          <w:sz w:val="22"/>
          <w:lang w:val="en-US"/>
        </w:rPr>
        <w:t>, 202</w:t>
      </w:r>
      <w:r>
        <w:rPr>
          <w:rFonts w:ascii="Arial" w:hAnsi="Arial" w:cs="Arial" w:hint="eastAsia"/>
          <w:b/>
          <w:bCs/>
          <w:sz w:val="22"/>
          <w:lang w:val="en-US" w:eastAsia="zh-CN"/>
        </w:rPr>
        <w:t>5</w:t>
      </w:r>
    </w:p>
    <w:p w14:paraId="00523553" w14:textId="77777777" w:rsidR="00E47AA5" w:rsidRDefault="00E47AA5">
      <w:pPr>
        <w:rPr>
          <w:rFonts w:ascii="Arial" w:hAnsi="Arial" w:cs="Arial"/>
        </w:rPr>
      </w:pPr>
    </w:p>
    <w:p w14:paraId="6CD4642D" w14:textId="2959621E" w:rsidR="00E47AA5" w:rsidRDefault="0032476C">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sidR="00662D07" w:rsidRPr="00662D07">
        <w:rPr>
          <w:rFonts w:ascii="Arial" w:hAnsi="Arial" w:cs="Arial"/>
          <w:b/>
          <w:sz w:val="22"/>
          <w:szCs w:val="22"/>
        </w:rPr>
        <w:t xml:space="preserve">ZTE Corporation, </w:t>
      </w:r>
      <w:proofErr w:type="spellStart"/>
      <w:r w:rsidR="00662D07" w:rsidRPr="00662D07">
        <w:rPr>
          <w:rFonts w:ascii="Arial" w:hAnsi="Arial" w:cs="Arial"/>
          <w:b/>
          <w:sz w:val="22"/>
          <w:szCs w:val="22"/>
        </w:rPr>
        <w:t>Sanechips</w:t>
      </w:r>
      <w:proofErr w:type="spellEnd"/>
    </w:p>
    <w:p w14:paraId="2B1406F0" w14:textId="67C6CC5A" w:rsidR="00E47AA5" w:rsidRDefault="0032476C">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 on UE features for Rel-19 low band carrier via switching</w:t>
      </w:r>
    </w:p>
    <w:p w14:paraId="3A5AFF54" w14:textId="32EF4239" w:rsidR="00E47AA5" w:rsidRDefault="0032476C">
      <w:pPr>
        <w:spacing w:after="60"/>
        <w:ind w:left="1985" w:hanging="1985"/>
        <w:rPr>
          <w:rFonts w:ascii="Arial" w:hAnsi="Arial" w:cs="Arial"/>
          <w:bCs/>
          <w:sz w:val="22"/>
          <w:szCs w:val="22"/>
        </w:rPr>
      </w:pPr>
      <w:r>
        <w:rPr>
          <w:rFonts w:ascii="Arial" w:hAnsi="Arial" w:cs="Arial"/>
          <w:b/>
          <w:sz w:val="22"/>
          <w:szCs w:val="22"/>
        </w:rPr>
        <w:t>Agenda item:</w:t>
      </w:r>
      <w:r>
        <w:rPr>
          <w:rFonts w:ascii="Arial" w:hAnsi="Arial" w:cs="Arial"/>
          <w:b/>
          <w:sz w:val="22"/>
          <w:szCs w:val="22"/>
        </w:rPr>
        <w:tab/>
      </w:r>
      <w:r>
        <w:rPr>
          <w:rFonts w:ascii="Arial" w:hAnsi="Arial" w:cs="Arial" w:hint="eastAsia"/>
          <w:b/>
          <w:bCs/>
          <w:sz w:val="22"/>
          <w:szCs w:val="22"/>
          <w:lang w:val="en-US" w:eastAsia="zh-CN"/>
        </w:rPr>
        <w:t>9.1</w:t>
      </w:r>
      <w:r w:rsidR="005964BA">
        <w:rPr>
          <w:rFonts w:ascii="Arial" w:hAnsi="Arial" w:cs="Arial"/>
          <w:b/>
          <w:bCs/>
          <w:sz w:val="22"/>
          <w:szCs w:val="22"/>
          <w:lang w:val="en-US" w:eastAsia="zh-CN"/>
        </w:rPr>
        <w:t>5</w:t>
      </w:r>
      <w:bookmarkStart w:id="0" w:name="_GoBack"/>
      <w:bookmarkEnd w:id="0"/>
      <w:r>
        <w:rPr>
          <w:rFonts w:ascii="Arial" w:hAnsi="Arial" w:cs="Arial" w:hint="eastAsia"/>
          <w:b/>
          <w:bCs/>
          <w:sz w:val="22"/>
          <w:szCs w:val="22"/>
          <w:lang w:val="en-US" w:eastAsia="zh-CN"/>
        </w:rPr>
        <w:t>.</w:t>
      </w:r>
      <w:r>
        <w:rPr>
          <w:rFonts w:ascii="Arial" w:hAnsi="Arial" w:cs="Arial"/>
          <w:b/>
          <w:bCs/>
          <w:sz w:val="22"/>
          <w:szCs w:val="22"/>
          <w:lang w:val="en-US" w:eastAsia="zh-CN"/>
        </w:rPr>
        <w:t>1</w:t>
      </w:r>
      <w:r>
        <w:rPr>
          <w:rFonts w:ascii="Arial" w:hAnsi="Arial" w:cs="Arial" w:hint="eastAsia"/>
          <w:b/>
          <w:bCs/>
          <w:sz w:val="22"/>
          <w:szCs w:val="22"/>
          <w:lang w:val="en-US" w:eastAsia="zh-CN"/>
        </w:rPr>
        <w:t>2</w:t>
      </w:r>
    </w:p>
    <w:p w14:paraId="500200B2" w14:textId="77777777" w:rsidR="00E47AA5" w:rsidRDefault="0032476C">
      <w:pPr>
        <w:spacing w:after="60"/>
        <w:ind w:left="1985" w:hanging="1985"/>
        <w:rPr>
          <w:rFonts w:ascii="Arial" w:hAnsi="Arial" w:cs="Arial"/>
          <w:bCs/>
          <w:sz w:val="22"/>
          <w:szCs w:val="22"/>
        </w:rPr>
      </w:pPr>
      <w:r>
        <w:rPr>
          <w:rFonts w:ascii="Arial" w:hAnsi="Arial" w:cs="Arial"/>
          <w:b/>
          <w:sz w:val="22"/>
          <w:szCs w:val="22"/>
        </w:rPr>
        <w:t>Document for:</w:t>
      </w:r>
      <w:r>
        <w:rPr>
          <w:rFonts w:ascii="Arial" w:hAnsi="Arial" w:cs="Arial"/>
          <w:bCs/>
          <w:sz w:val="22"/>
          <w:szCs w:val="22"/>
        </w:rPr>
        <w:tab/>
      </w:r>
      <w:r>
        <w:rPr>
          <w:rFonts w:ascii="Arial" w:hAnsi="Arial" w:cs="Arial"/>
          <w:b/>
          <w:bCs/>
          <w:sz w:val="22"/>
          <w:szCs w:val="22"/>
        </w:rPr>
        <w:t>Discussion and Decision</w:t>
      </w:r>
    </w:p>
    <w:p w14:paraId="77E19BEE" w14:textId="77777777" w:rsidR="00E47AA5" w:rsidRDefault="0032476C">
      <w:pPr>
        <w:pStyle w:val="1"/>
        <w:pBdr>
          <w:top w:val="single" w:sz="12" w:space="0" w:color="auto"/>
        </w:pBdr>
      </w:pPr>
      <w:r>
        <w:t>Introduction</w:t>
      </w:r>
    </w:p>
    <w:p w14:paraId="2527EF8D" w14:textId="77777777" w:rsidR="00E47AA5" w:rsidRDefault="0032476C">
      <w:pPr>
        <w:rPr>
          <w:lang w:val="en-US"/>
        </w:rPr>
      </w:pPr>
      <w:r>
        <w:rPr>
          <w:lang w:val="en-US"/>
        </w:rPr>
        <w:t>In RAN#106, a new Rel-19 WI</w:t>
      </w:r>
      <w:r>
        <w:rPr>
          <w:rFonts w:hint="eastAsia"/>
          <w:lang w:val="en-US" w:eastAsia="zh-CN"/>
        </w:rPr>
        <w:t>D</w:t>
      </w:r>
      <w:r>
        <w:rPr>
          <w:lang w:val="en-US"/>
        </w:rPr>
        <w:t xml:space="preserve"> on </w:t>
      </w:r>
      <w:r>
        <w:rPr>
          <w:lang w:val="en-US" w:eastAsia="zh-CN"/>
        </w:rPr>
        <w:t>low band carrier aggregation via switching</w:t>
      </w:r>
      <w:r>
        <w:rPr>
          <w:lang w:val="en-US"/>
        </w:rPr>
        <w:t xml:space="preserve"> was approved [1]:</w:t>
      </w:r>
    </w:p>
    <w:p w14:paraId="081DB1E4" w14:textId="77777777" w:rsidR="00E47AA5" w:rsidRDefault="0032476C">
      <w:r>
        <w:rPr>
          <w:rFonts w:hint="eastAsia"/>
          <w:lang w:val="en-US" w:eastAsia="zh-CN"/>
        </w:rPr>
        <w:t>The motivation of the WID lies in operators' interest</w:t>
      </w:r>
      <w:r>
        <w:t xml:space="preserve"> for aggregating low band spectrum</w:t>
      </w:r>
      <w:r>
        <w:rPr>
          <w:rFonts w:hint="eastAsia"/>
          <w:lang w:val="en-US" w:eastAsia="zh-CN"/>
        </w:rPr>
        <w:t xml:space="preserve">, but </w:t>
      </w:r>
      <w:r>
        <w:rPr>
          <w:lang w:val="en-US" w:eastAsia="zh-CN"/>
        </w:rPr>
        <w:t>considering</w:t>
      </w:r>
      <w:r>
        <w:t xml:space="preserve"> the practicalities of handset RF front end architectures available in the market today,</w:t>
      </w:r>
      <w:r>
        <w:rPr>
          <w:rFonts w:hint="eastAsia"/>
          <w:lang w:val="en-US" w:eastAsia="zh-CN"/>
        </w:rPr>
        <w:t xml:space="preserve"> </w:t>
      </w:r>
      <w:r>
        <w:t>operator</w:t>
      </w:r>
      <w:r>
        <w:rPr>
          <w:rFonts w:hint="eastAsia"/>
          <w:lang w:val="en-US" w:eastAsia="zh-CN"/>
        </w:rPr>
        <w:t>s have</w:t>
      </w:r>
      <w:r>
        <w:t xml:space="preserve"> </w:t>
      </w:r>
      <w:r>
        <w:rPr>
          <w:rFonts w:hint="eastAsia"/>
          <w:lang w:val="en-US" w:eastAsia="zh-CN"/>
        </w:rPr>
        <w:t>proposed</w:t>
      </w:r>
      <w:r>
        <w:t xml:space="preserve"> a switching scheme which can potentially accommodate the related limitations.</w:t>
      </w:r>
      <w:r>
        <w:rPr>
          <w:rFonts w:hint="eastAsia"/>
          <w:lang w:val="en-US" w:eastAsia="zh-CN"/>
        </w:rPr>
        <w:t xml:space="preserve"> </w:t>
      </w:r>
      <w:r>
        <w:t>An enhancement of the 3GPP specification is needed to enable the following solution:</w:t>
      </w:r>
    </w:p>
    <w:p w14:paraId="763E3E1C" w14:textId="77777777" w:rsidR="00E47AA5" w:rsidRDefault="0032476C">
      <w:pPr>
        <w:pStyle w:val="B1"/>
      </w:pPr>
      <w:r>
        <w:t>-</w:t>
      </w:r>
      <w:r>
        <w:tab/>
        <w:t xml:space="preserve">Device needs to support switching: when the </w:t>
      </w:r>
      <w:proofErr w:type="spellStart"/>
      <w:r>
        <w:t>SCell</w:t>
      </w:r>
      <w:proofErr w:type="spellEnd"/>
      <w:r>
        <w:t xml:space="preserve"> operation is triggered, UE needs to switch to the </w:t>
      </w:r>
      <w:proofErr w:type="spellStart"/>
      <w:r>
        <w:t>SCell</w:t>
      </w:r>
      <w:proofErr w:type="spellEnd"/>
      <w:r>
        <w:t xml:space="preserve">, and during the operation period there is no simultaneous Tx/Rx between the </w:t>
      </w:r>
      <w:proofErr w:type="spellStart"/>
      <w:r>
        <w:t>PCell</w:t>
      </w:r>
      <w:proofErr w:type="spellEnd"/>
      <w:r>
        <w:t xml:space="preserve"> and the </w:t>
      </w:r>
      <w:proofErr w:type="spellStart"/>
      <w:r>
        <w:t>SCell</w:t>
      </w:r>
      <w:proofErr w:type="spellEnd"/>
    </w:p>
    <w:p w14:paraId="4CE1A08C" w14:textId="77777777" w:rsidR="00E47AA5" w:rsidRDefault="0032476C">
      <w:pPr>
        <w:pStyle w:val="B1"/>
      </w:pPr>
      <w:r>
        <w:t>-</w:t>
      </w:r>
      <w:r>
        <w:tab/>
        <w:t xml:space="preserve">Device switches back to the </w:t>
      </w:r>
      <w:proofErr w:type="spellStart"/>
      <w:r>
        <w:t>PCell</w:t>
      </w:r>
      <w:proofErr w:type="spellEnd"/>
      <w:r>
        <w:t xml:space="preserve"> after the </w:t>
      </w:r>
      <w:proofErr w:type="spellStart"/>
      <w:r>
        <w:t>SCell</w:t>
      </w:r>
      <w:proofErr w:type="spellEnd"/>
      <w:r>
        <w:t xml:space="preserve"> operation is finished</w:t>
      </w:r>
    </w:p>
    <w:p w14:paraId="06D8F5C0" w14:textId="77777777" w:rsidR="00E47AA5" w:rsidRDefault="0032476C">
      <w:pPr>
        <w:rPr>
          <w:lang w:val="en-US" w:eastAsia="zh-CN"/>
        </w:rPr>
      </w:pPr>
      <w:r>
        <w:rPr>
          <w:rFonts w:hint="eastAsia"/>
          <w:lang w:val="en-US" w:eastAsia="zh-CN"/>
        </w:rPr>
        <w:t xml:space="preserve">the </w:t>
      </w:r>
      <w:r>
        <w:rPr>
          <w:rFonts w:hint="eastAsia"/>
        </w:rPr>
        <w:t>corresponding physical layer procedures to allow switching between {case 1, case 2}</w:t>
      </w:r>
      <w:r>
        <w:rPr>
          <w:rFonts w:hint="eastAsia"/>
          <w:lang w:val="en-US" w:eastAsia="zh-CN"/>
        </w:rPr>
        <w:t>:</w:t>
      </w:r>
    </w:p>
    <w:p w14:paraId="4C5886E3" w14:textId="77777777" w:rsidR="00E47AA5" w:rsidRDefault="0032476C">
      <w:pPr>
        <w:pStyle w:val="B2"/>
      </w:pPr>
      <w:r>
        <w:t>-</w:t>
      </w:r>
      <w:r>
        <w:tab/>
        <w:t>Case 1: Tx/Rx on FDD carrier 1 and no Rx on SDL carrier 2</w:t>
      </w:r>
    </w:p>
    <w:p w14:paraId="7B3B9EE2" w14:textId="77777777" w:rsidR="00E47AA5" w:rsidRDefault="0032476C">
      <w:pPr>
        <w:pStyle w:val="B2"/>
      </w:pPr>
      <w:r>
        <w:t>-</w:t>
      </w:r>
      <w:r>
        <w:tab/>
        <w:t>Case 2: Rx on SDL carrier 2 and no Tx/Rx on FDD carrier 1</w:t>
      </w:r>
    </w:p>
    <w:p w14:paraId="78D4C07B" w14:textId="77777777" w:rsidR="00E47AA5" w:rsidRDefault="0032476C">
      <w:pPr>
        <w:rPr>
          <w:lang w:val="en-US" w:eastAsia="zh-CN"/>
        </w:rPr>
      </w:pPr>
      <w:r>
        <w:rPr>
          <w:rFonts w:hint="eastAsia"/>
          <w:lang w:val="en-US" w:eastAsia="zh-CN"/>
        </w:rPr>
        <w:t xml:space="preserve">For the switching period, RAN4 has the following LS about switching periods on carrier aggregation via switching </w:t>
      </w:r>
      <w:r>
        <w:rPr>
          <w:lang w:val="en-US" w:eastAsia="zh-CN"/>
        </w:rPr>
        <w:t>[</w:t>
      </w:r>
      <w:r>
        <w:rPr>
          <w:rFonts w:hint="eastAsia"/>
          <w:lang w:val="en-US" w:eastAsia="zh-CN"/>
        </w:rPr>
        <w:t>2</w:t>
      </w:r>
      <w:r>
        <w:rPr>
          <w:lang w:val="en-US" w:eastAsia="zh-CN"/>
        </w:rPr>
        <w:t>].</w:t>
      </w:r>
    </w:p>
    <w:tbl>
      <w:tblPr>
        <w:tblStyle w:val="af"/>
        <w:tblW w:w="0" w:type="auto"/>
        <w:tblLook w:val="04A0" w:firstRow="1" w:lastRow="0" w:firstColumn="1" w:lastColumn="0" w:noHBand="0" w:noVBand="1"/>
      </w:tblPr>
      <w:tblGrid>
        <w:gridCol w:w="8522"/>
      </w:tblGrid>
      <w:tr w:rsidR="00E47AA5" w14:paraId="39F004EE" w14:textId="77777777">
        <w:tc>
          <w:tcPr>
            <w:tcW w:w="8522" w:type="dxa"/>
          </w:tcPr>
          <w:p w14:paraId="14E91590" w14:textId="77777777" w:rsidR="00E47AA5" w:rsidRDefault="0032476C">
            <w:pPr>
              <w:pStyle w:val="B2"/>
              <w:rPr>
                <w:rFonts w:ascii="Arial" w:eastAsia="等线" w:hAnsi="Arial" w:cs="Arial"/>
                <w:bCs/>
                <w:kern w:val="2"/>
                <w:sz w:val="18"/>
                <w:lang w:val="en-US" w:eastAsia="zh-CN"/>
              </w:rPr>
            </w:pPr>
            <w:r>
              <w:rPr>
                <w:rFonts w:ascii="Arial" w:eastAsia="等线" w:hAnsi="Arial" w:cs="Arial"/>
                <w:bCs/>
                <w:kern w:val="2"/>
                <w:lang w:val="en-US" w:eastAsia="zh-CN"/>
              </w:rPr>
              <w:t>-</w:t>
            </w:r>
            <w:r>
              <w:rPr>
                <w:rFonts w:ascii="Arial" w:eastAsia="等线" w:hAnsi="Arial" w:cs="Arial"/>
                <w:bCs/>
                <w:kern w:val="2"/>
                <w:sz w:val="18"/>
                <w:lang w:val="en-US" w:eastAsia="zh-CN"/>
              </w:rPr>
              <w:tab/>
              <w:t>Define switching periods between FDD low band and SDL low band with the following values as a UE capability to accommodate different UE implementations</w:t>
            </w:r>
          </w:p>
          <w:p w14:paraId="4CECF7EC" w14:textId="77777777" w:rsidR="00E47AA5" w:rsidRDefault="0032476C">
            <w:pPr>
              <w:pStyle w:val="B2"/>
              <w:spacing w:after="0"/>
              <w:rPr>
                <w:lang w:val="en-US" w:eastAsia="zh-CN"/>
              </w:rPr>
            </w:pPr>
            <w:r>
              <w:rPr>
                <w:rFonts w:ascii="Arial" w:eastAsia="等线" w:hAnsi="Arial" w:cs="Arial"/>
                <w:bCs/>
                <w:kern w:val="2"/>
                <w:sz w:val="18"/>
                <w:lang w:val="en-US" w:eastAsia="zh-CN"/>
              </w:rPr>
              <w:t>-</w:t>
            </w:r>
            <w:r>
              <w:rPr>
                <w:rFonts w:ascii="Arial" w:eastAsia="等线" w:hAnsi="Arial" w:cs="Arial"/>
                <w:bCs/>
                <w:kern w:val="2"/>
                <w:sz w:val="18"/>
                <w:lang w:val="en-US" w:eastAsia="zh-CN"/>
              </w:rPr>
              <w:tab/>
              <w:t>35us, 140us</w:t>
            </w:r>
          </w:p>
        </w:tc>
      </w:tr>
    </w:tbl>
    <w:p w14:paraId="47FA0364" w14:textId="77777777" w:rsidR="00E47AA5" w:rsidRDefault="0032476C">
      <w:pPr>
        <w:spacing w:beforeLines="50" w:before="120"/>
        <w:rPr>
          <w:lang w:val="en-US" w:eastAsia="zh-CN"/>
        </w:rPr>
      </w:pPr>
      <w:r>
        <w:rPr>
          <w:rFonts w:hint="eastAsia"/>
          <w:lang w:val="en-US" w:eastAsia="zh-CN"/>
        </w:rPr>
        <w:t xml:space="preserve">In this contribution, </w:t>
      </w:r>
      <w:r>
        <w:rPr>
          <w:lang w:eastAsia="zh-CN"/>
        </w:rPr>
        <w:t>we present our analysis and views on Rel-1</w:t>
      </w:r>
      <w:r>
        <w:rPr>
          <w:rFonts w:hint="eastAsia"/>
          <w:lang w:val="en-US" w:eastAsia="zh-CN"/>
        </w:rPr>
        <w:t>9</w:t>
      </w:r>
      <w:r>
        <w:rPr>
          <w:lang w:eastAsia="zh-CN"/>
        </w:rPr>
        <w:t xml:space="preserve"> UE features for </w:t>
      </w:r>
      <w:r>
        <w:rPr>
          <w:lang w:val="en-US" w:eastAsia="zh-CN"/>
        </w:rPr>
        <w:t>low band carrier aggregation via switching</w:t>
      </w:r>
      <w:r>
        <w:rPr>
          <w:rFonts w:hint="eastAsia"/>
          <w:lang w:val="en-US" w:eastAsia="zh-CN"/>
        </w:rPr>
        <w:t>.</w:t>
      </w:r>
    </w:p>
    <w:p w14:paraId="5D60E081" w14:textId="77777777" w:rsidR="00E47AA5" w:rsidRDefault="0032476C">
      <w:pPr>
        <w:pStyle w:val="1"/>
      </w:pPr>
      <w:r>
        <w:t>Discussion</w:t>
      </w:r>
    </w:p>
    <w:p w14:paraId="5826A06F" w14:textId="14933FFC" w:rsidR="00E47AA5" w:rsidRDefault="0032476C">
      <w:pPr>
        <w:rPr>
          <w:rFonts w:eastAsiaTheme="minorEastAsia"/>
          <w:lang w:eastAsia="zh-CN"/>
        </w:rPr>
      </w:pPr>
      <w:r>
        <w:rPr>
          <w:lang w:val="en-US" w:eastAsia="zh-CN"/>
        </w:rPr>
        <w:t xml:space="preserve">In RAN1, a semi-static pattern configuration is defined for the UE to perform switching between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The semi-static pattern can only be configured by bitmap. Therefore, one FG is sufficient for this WID in RAN1. In addition, since this feature is related to CA, the granularity of the FG should be per BC, which is s</w:t>
      </w:r>
      <w:r>
        <w:rPr>
          <w:rFonts w:hint="eastAsia"/>
          <w:lang w:val="en-US" w:eastAsia="zh-CN"/>
        </w:rPr>
        <w:t>imilar as UE capability of supporting UL Tx switching</w:t>
      </w:r>
      <w:r>
        <w:rPr>
          <w:lang w:val="en-US" w:eastAsia="zh-CN"/>
        </w:rPr>
        <w:t>.</w:t>
      </w:r>
      <w:r>
        <w:rPr>
          <w:rFonts w:hint="eastAsia"/>
          <w:lang w:val="en-US" w:eastAsia="zh-CN"/>
        </w:rPr>
        <w:t xml:space="preserve"> </w:t>
      </w:r>
      <w:r>
        <w:rPr>
          <w:rFonts w:hint="eastAsia"/>
          <w:lang w:eastAsia="zh-CN"/>
        </w:rPr>
        <w:t>Thus</w:t>
      </w:r>
      <w:r>
        <w:rPr>
          <w:rFonts w:eastAsiaTheme="minorEastAsia" w:hint="eastAsia"/>
          <w:lang w:eastAsia="zh-CN"/>
        </w:rPr>
        <w:t>, we propose to introduce the following UE feature for Rel-1</w:t>
      </w:r>
      <w:r>
        <w:rPr>
          <w:rFonts w:eastAsiaTheme="minorEastAsia" w:hint="eastAsia"/>
          <w:lang w:val="en-US" w:eastAsia="zh-CN"/>
        </w:rPr>
        <w:t>9</w:t>
      </w:r>
      <w:r>
        <w:rPr>
          <w:rFonts w:eastAsiaTheme="minorEastAsia" w:hint="eastAsia"/>
          <w:lang w:eastAsia="zh-CN"/>
        </w:rPr>
        <w:t xml:space="preserve"> </w:t>
      </w:r>
      <w:r>
        <w:rPr>
          <w:rFonts w:eastAsiaTheme="minorEastAsia" w:hint="eastAsia"/>
          <w:lang w:val="en-US" w:eastAsia="ja-JP"/>
        </w:rPr>
        <w:t xml:space="preserve">carrier </w:t>
      </w:r>
      <w:r>
        <w:rPr>
          <w:rFonts w:eastAsiaTheme="minorEastAsia" w:hint="eastAsia"/>
          <w:lang w:eastAsia="zh-CN"/>
        </w:rPr>
        <w:t>switching.</w:t>
      </w:r>
    </w:p>
    <w:p w14:paraId="5CE5ACF2" w14:textId="77777777" w:rsidR="00E47AA5" w:rsidRDefault="0032476C">
      <w:pPr>
        <w:rPr>
          <w:i/>
          <w:lang w:eastAsia="zh-CN"/>
        </w:rPr>
      </w:pPr>
      <w:r>
        <w:rPr>
          <w:b/>
          <w:i/>
          <w:lang w:eastAsia="zh-CN"/>
        </w:rPr>
        <w:t>Proposal 1</w:t>
      </w:r>
      <w:r>
        <w:rPr>
          <w:i/>
          <w:lang w:eastAsia="zh-CN"/>
        </w:rPr>
        <w:t>: Introduce the following UE feature for Rel-1</w:t>
      </w:r>
      <w:r>
        <w:rPr>
          <w:rFonts w:hint="eastAsia"/>
          <w:i/>
          <w:lang w:val="en-US" w:eastAsia="zh-CN"/>
        </w:rPr>
        <w:t>9</w:t>
      </w:r>
      <w:r>
        <w:rPr>
          <w:i/>
          <w:lang w:eastAsia="zh-CN"/>
        </w:rPr>
        <w:t xml:space="preserve"> </w:t>
      </w:r>
      <w:r>
        <w:rPr>
          <w:rFonts w:hint="eastAsia"/>
          <w:i/>
          <w:lang w:val="en-US" w:eastAsia="zh-CN"/>
        </w:rPr>
        <w:t xml:space="preserve">carrier </w:t>
      </w:r>
      <w:r>
        <w:rPr>
          <w:i/>
          <w:lang w:eastAsia="zh-CN"/>
        </w:rPr>
        <w:t>switching.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954"/>
        <w:gridCol w:w="1276"/>
        <w:gridCol w:w="963"/>
        <w:gridCol w:w="709"/>
        <w:gridCol w:w="728"/>
      </w:tblGrid>
      <w:tr w:rsidR="00E47AA5" w14:paraId="107EC076" w14:textId="77777777" w:rsidTr="00113ACA">
        <w:trPr>
          <w:cantSplit/>
          <w:tblHeader/>
        </w:trPr>
        <w:tc>
          <w:tcPr>
            <w:tcW w:w="5954" w:type="dxa"/>
          </w:tcPr>
          <w:p w14:paraId="7228ABF5" w14:textId="77777777" w:rsidR="00E47AA5" w:rsidRDefault="0032476C">
            <w:pPr>
              <w:pStyle w:val="TAH"/>
            </w:pPr>
            <w:r>
              <w:t>Definitions for parameters</w:t>
            </w:r>
          </w:p>
        </w:tc>
        <w:tc>
          <w:tcPr>
            <w:tcW w:w="1276" w:type="dxa"/>
          </w:tcPr>
          <w:p w14:paraId="1D59D35D" w14:textId="72884438" w:rsidR="00E47AA5" w:rsidRDefault="00113ACA">
            <w:pPr>
              <w:pStyle w:val="TAH"/>
            </w:pPr>
            <w:r w:rsidRPr="00113ACA">
              <w:t>Prerequisite feature groups</w:t>
            </w:r>
          </w:p>
        </w:tc>
        <w:tc>
          <w:tcPr>
            <w:tcW w:w="963" w:type="dxa"/>
          </w:tcPr>
          <w:p w14:paraId="1A0E45EB" w14:textId="26DBCFE2" w:rsidR="00E47AA5" w:rsidRDefault="00113ACA" w:rsidP="00113ACA">
            <w:pPr>
              <w:pStyle w:val="TAN"/>
              <w:ind w:left="0" w:firstLine="0"/>
              <w:jc w:val="center"/>
            </w:pPr>
            <w:r>
              <w:rPr>
                <w:rFonts w:cs="Arial"/>
                <w:b/>
                <w:color w:val="000000"/>
              </w:rPr>
              <w:t>Type</w:t>
            </w:r>
          </w:p>
        </w:tc>
        <w:tc>
          <w:tcPr>
            <w:tcW w:w="709" w:type="dxa"/>
          </w:tcPr>
          <w:p w14:paraId="309D0584" w14:textId="77777777" w:rsidR="00E47AA5" w:rsidRDefault="0032476C">
            <w:pPr>
              <w:pStyle w:val="TAH"/>
            </w:pPr>
            <w:r>
              <w:t>FDD-TDD</w:t>
            </w:r>
          </w:p>
          <w:p w14:paraId="12E954D3" w14:textId="77777777" w:rsidR="00E47AA5" w:rsidRDefault="0032476C">
            <w:pPr>
              <w:pStyle w:val="TAH"/>
            </w:pPr>
            <w:r>
              <w:t>DIFF</w:t>
            </w:r>
          </w:p>
        </w:tc>
        <w:tc>
          <w:tcPr>
            <w:tcW w:w="728" w:type="dxa"/>
          </w:tcPr>
          <w:p w14:paraId="1C67DB27" w14:textId="77777777" w:rsidR="00E47AA5" w:rsidRDefault="0032476C">
            <w:pPr>
              <w:pStyle w:val="TAH"/>
            </w:pPr>
            <w:r>
              <w:t>FR1-FR2</w:t>
            </w:r>
          </w:p>
          <w:p w14:paraId="574F18FF" w14:textId="77777777" w:rsidR="00E47AA5" w:rsidRDefault="0032476C">
            <w:pPr>
              <w:pStyle w:val="TAH"/>
            </w:pPr>
            <w:r>
              <w:t>DIFF</w:t>
            </w:r>
          </w:p>
        </w:tc>
      </w:tr>
      <w:tr w:rsidR="00E47AA5" w14:paraId="0072FF2F" w14:textId="77777777" w:rsidTr="00113ACA">
        <w:trPr>
          <w:cantSplit/>
          <w:tblHeader/>
        </w:trPr>
        <w:tc>
          <w:tcPr>
            <w:tcW w:w="5954" w:type="dxa"/>
          </w:tcPr>
          <w:p w14:paraId="69AA2FD4" w14:textId="321BC966" w:rsidR="00E47AA5" w:rsidRDefault="00051366">
            <w:pPr>
              <w:tabs>
                <w:tab w:val="left" w:pos="800"/>
              </w:tabs>
              <w:rPr>
                <w:b/>
                <w:i/>
                <w:lang w:val="en-US" w:eastAsia="zh-CN"/>
              </w:rPr>
            </w:pPr>
            <w:proofErr w:type="spellStart"/>
            <w:r w:rsidRPr="00051366">
              <w:rPr>
                <w:b/>
                <w:i/>
                <w:lang w:val="en-US" w:eastAsia="zh-CN"/>
              </w:rPr>
              <w:t>Carrier</w:t>
            </w:r>
            <w:r w:rsidR="0032476C">
              <w:rPr>
                <w:rFonts w:hint="eastAsia"/>
                <w:b/>
                <w:i/>
                <w:lang w:val="en-US" w:eastAsia="zh-CN"/>
              </w:rPr>
              <w:t>SwitchingBandPair</w:t>
            </w:r>
            <w:proofErr w:type="spellEnd"/>
          </w:p>
          <w:p w14:paraId="3BA6FEA4" w14:textId="2AB17B53" w:rsidR="00E47AA5" w:rsidRDefault="0032476C">
            <w:pPr>
              <w:pStyle w:val="TAL"/>
              <w:rPr>
                <w:rFonts w:cs="Arial"/>
                <w:szCs w:val="18"/>
                <w:lang w:val="en-US" w:eastAsia="zh-CN"/>
              </w:rPr>
            </w:pPr>
            <w:r>
              <w:t xml:space="preserve">Indicates UE supports semi-static </w:t>
            </w:r>
            <w:r>
              <w:rPr>
                <w:rFonts w:hint="eastAsia"/>
                <w:lang w:val="en-US" w:eastAsia="zh-CN"/>
              </w:rPr>
              <w:t xml:space="preserve">carrier </w:t>
            </w:r>
            <w:r>
              <w:t xml:space="preserve">switching in case of inter-band CA. </w:t>
            </w:r>
          </w:p>
        </w:tc>
        <w:tc>
          <w:tcPr>
            <w:tcW w:w="1276" w:type="dxa"/>
          </w:tcPr>
          <w:p w14:paraId="1083BCC9" w14:textId="59C2DA28" w:rsidR="00E47AA5" w:rsidRDefault="00E47AA5">
            <w:pPr>
              <w:pStyle w:val="TAL"/>
              <w:jc w:val="center"/>
            </w:pPr>
          </w:p>
        </w:tc>
        <w:tc>
          <w:tcPr>
            <w:tcW w:w="963" w:type="dxa"/>
          </w:tcPr>
          <w:p w14:paraId="28EE3161" w14:textId="6C64ECE3" w:rsidR="00E47AA5" w:rsidRDefault="00113ACA">
            <w:pPr>
              <w:pStyle w:val="TAL"/>
              <w:jc w:val="center"/>
            </w:pPr>
            <w:r>
              <w:rPr>
                <w:bCs/>
                <w:iCs/>
                <w:lang w:eastAsia="zh-CN"/>
              </w:rPr>
              <w:t>BC</w:t>
            </w:r>
          </w:p>
        </w:tc>
        <w:tc>
          <w:tcPr>
            <w:tcW w:w="709" w:type="dxa"/>
          </w:tcPr>
          <w:p w14:paraId="54E91F38" w14:textId="0D7B57D9" w:rsidR="00E47AA5" w:rsidRDefault="00113ACA">
            <w:pPr>
              <w:pStyle w:val="TAL"/>
              <w:jc w:val="center"/>
            </w:pPr>
            <w:r w:rsidRPr="00113ACA">
              <w:rPr>
                <w:bCs/>
                <w:iCs/>
                <w:lang w:eastAsia="zh-CN"/>
              </w:rPr>
              <w:t>N/A</w:t>
            </w:r>
          </w:p>
        </w:tc>
        <w:tc>
          <w:tcPr>
            <w:tcW w:w="728" w:type="dxa"/>
          </w:tcPr>
          <w:p w14:paraId="0E5F7E0A" w14:textId="77777777" w:rsidR="00E47AA5" w:rsidRDefault="0032476C">
            <w:pPr>
              <w:pStyle w:val="TAL"/>
              <w:jc w:val="center"/>
            </w:pPr>
            <w:r>
              <w:rPr>
                <w:rFonts w:hint="eastAsia"/>
                <w:lang w:eastAsia="zh-CN"/>
              </w:rPr>
              <w:t>F</w:t>
            </w:r>
            <w:r>
              <w:rPr>
                <w:lang w:eastAsia="zh-CN"/>
              </w:rPr>
              <w:t>R1 only</w:t>
            </w:r>
          </w:p>
        </w:tc>
      </w:tr>
    </w:tbl>
    <w:p w14:paraId="56B44E5E" w14:textId="77777777" w:rsidR="00E47AA5" w:rsidRDefault="00E47AA5"/>
    <w:p w14:paraId="5E2F5100" w14:textId="77777777" w:rsidR="00E47AA5" w:rsidRDefault="0032476C">
      <w:pPr>
        <w:pStyle w:val="1"/>
      </w:pPr>
      <w:r>
        <w:t>Conclusion</w:t>
      </w:r>
    </w:p>
    <w:p w14:paraId="58436509" w14:textId="77777777" w:rsidR="00E47AA5" w:rsidRDefault="0032476C">
      <w:pPr>
        <w:rPr>
          <w:lang w:eastAsia="zh-CN"/>
        </w:rPr>
      </w:pPr>
      <w:r>
        <w:rPr>
          <w:rFonts w:hint="eastAsia"/>
          <w:lang w:eastAsia="zh-CN"/>
        </w:rPr>
        <w:t>I</w:t>
      </w:r>
      <w:r>
        <w:rPr>
          <w:lang w:eastAsia="zh-CN"/>
        </w:rPr>
        <w:t>n this contribution, we discuss and analyse Rel-1</w:t>
      </w:r>
      <w:r>
        <w:rPr>
          <w:rFonts w:hint="eastAsia"/>
          <w:lang w:val="en-US" w:eastAsia="zh-CN"/>
        </w:rPr>
        <w:t>9</w:t>
      </w:r>
      <w:r>
        <w:rPr>
          <w:lang w:eastAsia="zh-CN"/>
        </w:rPr>
        <w:t xml:space="preserve"> UE features for </w:t>
      </w:r>
      <w:r>
        <w:rPr>
          <w:rFonts w:hint="eastAsia"/>
          <w:lang w:val="en-US" w:eastAsia="zh-CN"/>
        </w:rPr>
        <w:t xml:space="preserve">carrier </w:t>
      </w:r>
      <w:r>
        <w:rPr>
          <w:lang w:eastAsia="zh-CN"/>
        </w:rPr>
        <w:t>switching with the following proposal.</w:t>
      </w:r>
    </w:p>
    <w:p w14:paraId="2C87E3A9" w14:textId="77777777" w:rsidR="00E47AA5" w:rsidRDefault="0032476C">
      <w:pPr>
        <w:rPr>
          <w:i/>
          <w:lang w:eastAsia="zh-CN"/>
        </w:rPr>
      </w:pPr>
      <w:r>
        <w:rPr>
          <w:b/>
          <w:i/>
          <w:lang w:eastAsia="zh-CN"/>
        </w:rPr>
        <w:t>Proposal 1</w:t>
      </w:r>
      <w:r>
        <w:rPr>
          <w:i/>
          <w:lang w:eastAsia="zh-CN"/>
        </w:rPr>
        <w:t>: Introduce the following UE feature for Rel-1</w:t>
      </w:r>
      <w:r>
        <w:rPr>
          <w:rFonts w:hint="eastAsia"/>
          <w:i/>
          <w:lang w:val="en-US" w:eastAsia="zh-CN"/>
        </w:rPr>
        <w:t>9</w:t>
      </w:r>
      <w:r>
        <w:rPr>
          <w:i/>
          <w:lang w:eastAsia="zh-CN"/>
        </w:rPr>
        <w:t xml:space="preserve"> </w:t>
      </w:r>
      <w:r>
        <w:rPr>
          <w:rFonts w:hint="eastAsia"/>
          <w:i/>
          <w:lang w:val="en-US" w:eastAsia="zh-CN"/>
        </w:rPr>
        <w:t xml:space="preserve">carrier </w:t>
      </w:r>
      <w:r>
        <w:rPr>
          <w:i/>
          <w:lang w:eastAsia="zh-CN"/>
        </w:rPr>
        <w:t>switching.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954"/>
        <w:gridCol w:w="1276"/>
        <w:gridCol w:w="963"/>
        <w:gridCol w:w="709"/>
        <w:gridCol w:w="728"/>
      </w:tblGrid>
      <w:tr w:rsidR="00CD5BD6" w14:paraId="349BB765" w14:textId="77777777" w:rsidTr="00213037">
        <w:trPr>
          <w:cantSplit/>
          <w:tblHeader/>
        </w:trPr>
        <w:tc>
          <w:tcPr>
            <w:tcW w:w="5954" w:type="dxa"/>
          </w:tcPr>
          <w:p w14:paraId="765739F6" w14:textId="77777777" w:rsidR="00CD5BD6" w:rsidRDefault="00CD5BD6" w:rsidP="00213037">
            <w:pPr>
              <w:pStyle w:val="TAH"/>
            </w:pPr>
            <w:r>
              <w:t>Definitions for parameters</w:t>
            </w:r>
          </w:p>
        </w:tc>
        <w:tc>
          <w:tcPr>
            <w:tcW w:w="1276" w:type="dxa"/>
          </w:tcPr>
          <w:p w14:paraId="0B5790A0" w14:textId="77777777" w:rsidR="00CD5BD6" w:rsidRDefault="00CD5BD6" w:rsidP="00213037">
            <w:pPr>
              <w:pStyle w:val="TAH"/>
            </w:pPr>
            <w:r w:rsidRPr="00113ACA">
              <w:t>Prerequisite feature groups</w:t>
            </w:r>
          </w:p>
        </w:tc>
        <w:tc>
          <w:tcPr>
            <w:tcW w:w="963" w:type="dxa"/>
          </w:tcPr>
          <w:p w14:paraId="39540026" w14:textId="77777777" w:rsidR="00CD5BD6" w:rsidRDefault="00CD5BD6" w:rsidP="00213037">
            <w:pPr>
              <w:pStyle w:val="TAN"/>
              <w:ind w:left="0" w:firstLine="0"/>
              <w:jc w:val="center"/>
            </w:pPr>
            <w:r>
              <w:rPr>
                <w:rFonts w:cs="Arial"/>
                <w:b/>
                <w:color w:val="000000"/>
              </w:rPr>
              <w:t>Type</w:t>
            </w:r>
          </w:p>
        </w:tc>
        <w:tc>
          <w:tcPr>
            <w:tcW w:w="709" w:type="dxa"/>
          </w:tcPr>
          <w:p w14:paraId="66968A38" w14:textId="77777777" w:rsidR="00CD5BD6" w:rsidRDefault="00CD5BD6" w:rsidP="00213037">
            <w:pPr>
              <w:pStyle w:val="TAH"/>
            </w:pPr>
            <w:r>
              <w:t>FDD-TDD</w:t>
            </w:r>
          </w:p>
          <w:p w14:paraId="38416D12" w14:textId="77777777" w:rsidR="00CD5BD6" w:rsidRDefault="00CD5BD6" w:rsidP="00213037">
            <w:pPr>
              <w:pStyle w:val="TAH"/>
            </w:pPr>
            <w:r>
              <w:t>DIFF</w:t>
            </w:r>
          </w:p>
        </w:tc>
        <w:tc>
          <w:tcPr>
            <w:tcW w:w="728" w:type="dxa"/>
          </w:tcPr>
          <w:p w14:paraId="41022681" w14:textId="77777777" w:rsidR="00CD5BD6" w:rsidRDefault="00CD5BD6" w:rsidP="00213037">
            <w:pPr>
              <w:pStyle w:val="TAH"/>
            </w:pPr>
            <w:r>
              <w:t>FR1-FR2</w:t>
            </w:r>
          </w:p>
          <w:p w14:paraId="0A8BE9F9" w14:textId="77777777" w:rsidR="00CD5BD6" w:rsidRDefault="00CD5BD6" w:rsidP="00213037">
            <w:pPr>
              <w:pStyle w:val="TAH"/>
            </w:pPr>
            <w:r>
              <w:t>DIFF</w:t>
            </w:r>
          </w:p>
        </w:tc>
      </w:tr>
      <w:tr w:rsidR="00CD5BD6" w14:paraId="09282853" w14:textId="77777777" w:rsidTr="00213037">
        <w:trPr>
          <w:cantSplit/>
          <w:tblHeader/>
        </w:trPr>
        <w:tc>
          <w:tcPr>
            <w:tcW w:w="5954" w:type="dxa"/>
          </w:tcPr>
          <w:p w14:paraId="54D77189" w14:textId="77777777" w:rsidR="00CD5BD6" w:rsidRDefault="00CD5BD6" w:rsidP="00213037">
            <w:pPr>
              <w:tabs>
                <w:tab w:val="left" w:pos="800"/>
              </w:tabs>
              <w:rPr>
                <w:b/>
                <w:i/>
                <w:lang w:val="en-US" w:eastAsia="zh-CN"/>
              </w:rPr>
            </w:pPr>
            <w:proofErr w:type="spellStart"/>
            <w:r w:rsidRPr="00051366">
              <w:rPr>
                <w:b/>
                <w:i/>
                <w:lang w:val="en-US" w:eastAsia="zh-CN"/>
              </w:rPr>
              <w:t>Carrier</w:t>
            </w:r>
            <w:r>
              <w:rPr>
                <w:rFonts w:hint="eastAsia"/>
                <w:b/>
                <w:i/>
                <w:lang w:val="en-US" w:eastAsia="zh-CN"/>
              </w:rPr>
              <w:t>SwitchingBandPair</w:t>
            </w:r>
            <w:proofErr w:type="spellEnd"/>
          </w:p>
          <w:p w14:paraId="682B786C" w14:textId="77777777" w:rsidR="00CD5BD6" w:rsidRDefault="00CD5BD6" w:rsidP="00213037">
            <w:pPr>
              <w:pStyle w:val="TAL"/>
              <w:rPr>
                <w:rFonts w:cs="Arial"/>
                <w:szCs w:val="18"/>
                <w:lang w:val="en-US" w:eastAsia="zh-CN"/>
              </w:rPr>
            </w:pPr>
            <w:r>
              <w:t xml:space="preserve">Indicates UE supports semi-static </w:t>
            </w:r>
            <w:r>
              <w:rPr>
                <w:rFonts w:hint="eastAsia"/>
                <w:lang w:val="en-US" w:eastAsia="zh-CN"/>
              </w:rPr>
              <w:t xml:space="preserve">carrier </w:t>
            </w:r>
            <w:r>
              <w:t xml:space="preserve">switching in case of inter-band CA. </w:t>
            </w:r>
          </w:p>
        </w:tc>
        <w:tc>
          <w:tcPr>
            <w:tcW w:w="1276" w:type="dxa"/>
          </w:tcPr>
          <w:p w14:paraId="66B7B766" w14:textId="77777777" w:rsidR="00CD5BD6" w:rsidRDefault="00CD5BD6" w:rsidP="00213037">
            <w:pPr>
              <w:pStyle w:val="TAL"/>
              <w:jc w:val="center"/>
            </w:pPr>
          </w:p>
        </w:tc>
        <w:tc>
          <w:tcPr>
            <w:tcW w:w="963" w:type="dxa"/>
          </w:tcPr>
          <w:p w14:paraId="3103C109" w14:textId="77777777" w:rsidR="00CD5BD6" w:rsidRDefault="00CD5BD6" w:rsidP="00213037">
            <w:pPr>
              <w:pStyle w:val="TAL"/>
              <w:jc w:val="center"/>
            </w:pPr>
            <w:r>
              <w:rPr>
                <w:bCs/>
                <w:iCs/>
                <w:lang w:eastAsia="zh-CN"/>
              </w:rPr>
              <w:t>BC</w:t>
            </w:r>
          </w:p>
        </w:tc>
        <w:tc>
          <w:tcPr>
            <w:tcW w:w="709" w:type="dxa"/>
          </w:tcPr>
          <w:p w14:paraId="78114F35" w14:textId="77777777" w:rsidR="00CD5BD6" w:rsidRDefault="00CD5BD6" w:rsidP="00213037">
            <w:pPr>
              <w:pStyle w:val="TAL"/>
              <w:jc w:val="center"/>
            </w:pPr>
            <w:r w:rsidRPr="00113ACA">
              <w:rPr>
                <w:bCs/>
                <w:iCs/>
                <w:lang w:eastAsia="zh-CN"/>
              </w:rPr>
              <w:t>N/A</w:t>
            </w:r>
          </w:p>
        </w:tc>
        <w:tc>
          <w:tcPr>
            <w:tcW w:w="728" w:type="dxa"/>
          </w:tcPr>
          <w:p w14:paraId="4B189565" w14:textId="77777777" w:rsidR="00CD5BD6" w:rsidRDefault="00CD5BD6" w:rsidP="00213037">
            <w:pPr>
              <w:pStyle w:val="TAL"/>
              <w:jc w:val="center"/>
            </w:pPr>
            <w:r>
              <w:rPr>
                <w:rFonts w:hint="eastAsia"/>
                <w:lang w:eastAsia="zh-CN"/>
              </w:rPr>
              <w:t>F</w:t>
            </w:r>
            <w:r>
              <w:rPr>
                <w:lang w:eastAsia="zh-CN"/>
              </w:rPr>
              <w:t>R1 only</w:t>
            </w:r>
          </w:p>
        </w:tc>
      </w:tr>
    </w:tbl>
    <w:p w14:paraId="59C5A3FC" w14:textId="77777777" w:rsidR="00E47AA5" w:rsidRDefault="00E47AA5">
      <w:pPr>
        <w:rPr>
          <w:rFonts w:ascii="Arial" w:hAnsi="Arial" w:cs="Arial"/>
          <w:b/>
        </w:rPr>
      </w:pPr>
    </w:p>
    <w:p w14:paraId="0E30E912" w14:textId="77777777" w:rsidR="00E47AA5" w:rsidRDefault="0032476C">
      <w:pPr>
        <w:pStyle w:val="1"/>
      </w:pPr>
      <w:r>
        <w:t>References</w:t>
      </w:r>
    </w:p>
    <w:p w14:paraId="056A07F2" w14:textId="77777777" w:rsidR="00E47AA5" w:rsidRDefault="0032476C">
      <w:pPr>
        <w:pStyle w:val="References"/>
      </w:pPr>
      <w:r>
        <w:t>3GPP RAN#106, RP-243317, New WID on low band carrier aggregation via switching</w:t>
      </w:r>
    </w:p>
    <w:p w14:paraId="06EDBA5E" w14:textId="093232C1" w:rsidR="00E47AA5" w:rsidRDefault="0032476C" w:rsidP="00046BC4">
      <w:pPr>
        <w:pStyle w:val="References"/>
      </w:pPr>
      <w:r>
        <w:rPr>
          <w:lang w:val="en-US"/>
        </w:rPr>
        <w:t>3GPP RAN</w:t>
      </w:r>
      <w:r>
        <w:rPr>
          <w:lang w:val="en-US" w:eastAsia="zh-CN"/>
        </w:rPr>
        <w:t xml:space="preserve">4 </w:t>
      </w:r>
      <w:r>
        <w:rPr>
          <w:lang w:val="en-US"/>
        </w:rPr>
        <w:t>#114</w:t>
      </w:r>
      <w:r>
        <w:rPr>
          <w:lang w:val="en-US" w:eastAsia="zh-CN"/>
        </w:rPr>
        <w:t xml:space="preserve">, </w:t>
      </w:r>
      <w:r>
        <w:t>R4-2502877</w:t>
      </w:r>
      <w:r>
        <w:rPr>
          <w:lang w:val="en-US" w:eastAsia="zh-CN"/>
        </w:rPr>
        <w:t xml:space="preserve">, </w:t>
      </w:r>
      <w:r>
        <w:t>LS on switching periods for low-low band switching</w:t>
      </w:r>
    </w:p>
    <w:sectPr w:rsidR="00E47AA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C6E98" w14:textId="77777777" w:rsidR="00C22518" w:rsidRDefault="00C22518">
      <w:pPr>
        <w:spacing w:after="0"/>
      </w:pPr>
      <w:r>
        <w:separator/>
      </w:r>
    </w:p>
  </w:endnote>
  <w:endnote w:type="continuationSeparator" w:id="0">
    <w:p w14:paraId="348A54E6" w14:textId="77777777" w:rsidR="00C22518" w:rsidRDefault="00C22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A86E1" w14:textId="77777777" w:rsidR="00C22518" w:rsidRDefault="00C22518">
      <w:pPr>
        <w:spacing w:after="0"/>
      </w:pPr>
      <w:r>
        <w:separator/>
      </w:r>
    </w:p>
  </w:footnote>
  <w:footnote w:type="continuationSeparator" w:id="0">
    <w:p w14:paraId="7F62EAC4" w14:textId="77777777" w:rsidR="00C22518" w:rsidRDefault="00C225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DCDFE64"/>
    <w:multiLevelType w:val="multilevel"/>
    <w:tmpl w:val="7DCDFE6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FEB"/>
    <w:rsid w:val="00026559"/>
    <w:rsid w:val="00030329"/>
    <w:rsid w:val="00046A52"/>
    <w:rsid w:val="00046BC4"/>
    <w:rsid w:val="00051366"/>
    <w:rsid w:val="000A548C"/>
    <w:rsid w:val="000A5F9B"/>
    <w:rsid w:val="00113ACA"/>
    <w:rsid w:val="00130F91"/>
    <w:rsid w:val="001614AF"/>
    <w:rsid w:val="00162D5A"/>
    <w:rsid w:val="00187996"/>
    <w:rsid w:val="001B6A64"/>
    <w:rsid w:val="001D3C86"/>
    <w:rsid w:val="00203AFE"/>
    <w:rsid w:val="00241C13"/>
    <w:rsid w:val="002904DA"/>
    <w:rsid w:val="002B21B5"/>
    <w:rsid w:val="002D0B7E"/>
    <w:rsid w:val="00324023"/>
    <w:rsid w:val="0032476C"/>
    <w:rsid w:val="003264B7"/>
    <w:rsid w:val="00391338"/>
    <w:rsid w:val="003A4F2B"/>
    <w:rsid w:val="003D1DDC"/>
    <w:rsid w:val="003D4E84"/>
    <w:rsid w:val="004153CE"/>
    <w:rsid w:val="00425376"/>
    <w:rsid w:val="004607C3"/>
    <w:rsid w:val="00487603"/>
    <w:rsid w:val="004976AD"/>
    <w:rsid w:val="0049785E"/>
    <w:rsid w:val="004A7E15"/>
    <w:rsid w:val="004B0D86"/>
    <w:rsid w:val="004F3810"/>
    <w:rsid w:val="00546597"/>
    <w:rsid w:val="005926FA"/>
    <w:rsid w:val="005964BA"/>
    <w:rsid w:val="005A5996"/>
    <w:rsid w:val="005D20F1"/>
    <w:rsid w:val="005E65EE"/>
    <w:rsid w:val="006017DD"/>
    <w:rsid w:val="006035C5"/>
    <w:rsid w:val="006041B9"/>
    <w:rsid w:val="0065039A"/>
    <w:rsid w:val="00651E5D"/>
    <w:rsid w:val="00662D07"/>
    <w:rsid w:val="00670B87"/>
    <w:rsid w:val="00690330"/>
    <w:rsid w:val="006E74B6"/>
    <w:rsid w:val="006F5CA1"/>
    <w:rsid w:val="00737633"/>
    <w:rsid w:val="007967DD"/>
    <w:rsid w:val="00806409"/>
    <w:rsid w:val="008A716E"/>
    <w:rsid w:val="00910C20"/>
    <w:rsid w:val="00983380"/>
    <w:rsid w:val="00994A55"/>
    <w:rsid w:val="009951A9"/>
    <w:rsid w:val="009A6235"/>
    <w:rsid w:val="009D062C"/>
    <w:rsid w:val="00A0555A"/>
    <w:rsid w:val="00A136F9"/>
    <w:rsid w:val="00A23AC4"/>
    <w:rsid w:val="00A2589D"/>
    <w:rsid w:val="00A361F7"/>
    <w:rsid w:val="00A463D9"/>
    <w:rsid w:val="00A72ADF"/>
    <w:rsid w:val="00A7446C"/>
    <w:rsid w:val="00A9321D"/>
    <w:rsid w:val="00AB17FC"/>
    <w:rsid w:val="00AC3166"/>
    <w:rsid w:val="00AF6ED7"/>
    <w:rsid w:val="00B15576"/>
    <w:rsid w:val="00B70246"/>
    <w:rsid w:val="00BA1368"/>
    <w:rsid w:val="00BD2263"/>
    <w:rsid w:val="00C22518"/>
    <w:rsid w:val="00C32781"/>
    <w:rsid w:val="00C91E19"/>
    <w:rsid w:val="00CD5BD6"/>
    <w:rsid w:val="00CF03B6"/>
    <w:rsid w:val="00D11338"/>
    <w:rsid w:val="00D72C3B"/>
    <w:rsid w:val="00D96D2E"/>
    <w:rsid w:val="00DF5800"/>
    <w:rsid w:val="00E133C3"/>
    <w:rsid w:val="00E42731"/>
    <w:rsid w:val="00E44A17"/>
    <w:rsid w:val="00E47AA5"/>
    <w:rsid w:val="00E927CC"/>
    <w:rsid w:val="00EA0F6D"/>
    <w:rsid w:val="00EC6063"/>
    <w:rsid w:val="00ED5664"/>
    <w:rsid w:val="00ED61F5"/>
    <w:rsid w:val="00F143FF"/>
    <w:rsid w:val="00F17F2A"/>
    <w:rsid w:val="00F20615"/>
    <w:rsid w:val="00F2238C"/>
    <w:rsid w:val="00F3139D"/>
    <w:rsid w:val="00F45EED"/>
    <w:rsid w:val="00F56022"/>
    <w:rsid w:val="00F6288A"/>
    <w:rsid w:val="00F62AF3"/>
    <w:rsid w:val="00FD6B32"/>
    <w:rsid w:val="05F4380B"/>
    <w:rsid w:val="10FA6993"/>
    <w:rsid w:val="218F702E"/>
    <w:rsid w:val="286E206E"/>
    <w:rsid w:val="3D6D3B46"/>
    <w:rsid w:val="443D1DE4"/>
    <w:rsid w:val="4E017917"/>
    <w:rsid w:val="620C5EA9"/>
    <w:rsid w:val="65E83738"/>
    <w:rsid w:val="661D78B7"/>
    <w:rsid w:val="72881D4D"/>
    <w:rsid w:val="779C50F7"/>
    <w:rsid w:val="7DF96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BDB5E"/>
  <w15:docId w15:val="{FBD4C78C-A0A2-4B76-8004-1243143BA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1"/>
    <w:next w:val="a"/>
    <w:qFormat/>
    <w:pPr>
      <w:numPr>
        <w:ilvl w:val="1"/>
      </w:numPr>
      <w:spacing w:before="180"/>
      <w:outlineLvl w:val="1"/>
    </w:pPr>
    <w:rPr>
      <w:sz w:val="24"/>
    </w:rPr>
  </w:style>
  <w:style w:type="paragraph" w:styleId="3">
    <w:name w:val="heading 3"/>
    <w:basedOn w:val="2"/>
    <w:next w:val="a"/>
    <w:qFormat/>
    <w:pPr>
      <w:numPr>
        <w:ilvl w:val="2"/>
      </w:numPr>
      <w:spacing w:before="120"/>
      <w:outlineLvl w:val="2"/>
    </w:pPr>
  </w:style>
  <w:style w:type="paragraph" w:styleId="4">
    <w:name w:val="heading 4"/>
    <w:basedOn w:val="3"/>
    <w:next w:val="a"/>
    <w:qFormat/>
    <w:pPr>
      <w:numPr>
        <w:ilvl w:val="3"/>
      </w:numPr>
      <w:outlineLvl w:val="3"/>
    </w:p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semiHidden/>
    <w:qFormat/>
    <w:rPr>
      <w:rFonts w:ascii="Arial" w:hAnsi="Arial" w:cs="Arial"/>
      <w:color w:val="FF0000"/>
    </w:rPr>
  </w:style>
  <w:style w:type="paragraph" w:styleId="a4">
    <w:name w:val="Title"/>
    <w:basedOn w:val="a"/>
    <w:next w:val="a"/>
    <w:qFormat/>
    <w:pPr>
      <w:spacing w:before="120"/>
      <w:jc w:val="center"/>
      <w:outlineLvl w:val="0"/>
    </w:pPr>
    <w:rPr>
      <w:b/>
      <w:sz w:val="32"/>
    </w:rPr>
  </w:style>
  <w:style w:type="paragraph" w:styleId="a5">
    <w:name w:val="annotation text"/>
    <w:basedOn w:val="a"/>
    <w:link w:val="a6"/>
    <w:semiHidden/>
    <w:qFormat/>
    <w:pPr>
      <w:tabs>
        <w:tab w:val="left" w:pos="1418"/>
        <w:tab w:val="left" w:pos="4678"/>
        <w:tab w:val="left" w:pos="5954"/>
        <w:tab w:val="left" w:pos="7088"/>
      </w:tabs>
      <w:spacing w:after="240"/>
    </w:pPr>
    <w:rPr>
      <w:rFonts w:ascii="Arial" w:hAnsi="Arial"/>
    </w:rPr>
  </w:style>
  <w:style w:type="paragraph" w:styleId="20">
    <w:name w:val="List 2"/>
    <w:basedOn w:val="a7"/>
    <w:qFormat/>
    <w:pPr>
      <w:ind w:left="851"/>
    </w:pPr>
  </w:style>
  <w:style w:type="paragraph" w:styleId="a7">
    <w:name w:val="List"/>
    <w:basedOn w:val="a"/>
    <w:qFormat/>
    <w:pPr>
      <w:ind w:left="568" w:hanging="284"/>
    </w:pPr>
  </w:style>
  <w:style w:type="paragraph" w:styleId="a8">
    <w:name w:val="Balloon Text"/>
    <w:basedOn w:val="a"/>
    <w:link w:val="a9"/>
    <w:uiPriority w:val="99"/>
    <w:semiHidden/>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ad">
    <w:name w:val="annotation subject"/>
    <w:basedOn w:val="a5"/>
    <w:next w:val="a5"/>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1"/>
    <w:semiHidden/>
    <w:qFormat/>
  </w:style>
  <w:style w:type="character" w:styleId="af2">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paragraph" w:styleId="af3">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4">
    <w:name w:val="Quote"/>
    <w:basedOn w:val="a"/>
    <w:next w:val="a"/>
    <w:link w:val="af5"/>
    <w:uiPriority w:val="29"/>
    <w:qFormat/>
    <w:pPr>
      <w:spacing w:before="200" w:after="160"/>
      <w:ind w:left="864" w:right="864"/>
      <w:jc w:val="center"/>
    </w:pPr>
    <w:rPr>
      <w:i/>
      <w:iCs/>
      <w:color w:val="404040"/>
    </w:rPr>
  </w:style>
  <w:style w:type="character" w:customStyle="1" w:styleId="af5">
    <w:name w:val="引用 字符"/>
    <w:link w:val="af4"/>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6">
    <w:name w:val="No Spacing"/>
    <w:uiPriority w:val="1"/>
    <w:qFormat/>
    <w:rPr>
      <w:rFonts w:eastAsia="Times New Roman"/>
      <w:lang w:val="en-GB" w:eastAsia="en-US"/>
    </w:rPr>
  </w:style>
  <w:style w:type="paragraph" w:customStyle="1" w:styleId="B2">
    <w:name w:val="B2"/>
    <w:basedOn w:val="20"/>
    <w:qFormat/>
  </w:style>
  <w:style w:type="paragraph" w:customStyle="1" w:styleId="CRCoverPage">
    <w:name w:val="CR Cover Page"/>
    <w:qFormat/>
    <w:pPr>
      <w:spacing w:after="120"/>
    </w:pPr>
    <w:rPr>
      <w:rFonts w:ascii="Arial" w:eastAsiaTheme="minorEastAsia" w:hAnsi="Arial"/>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B1">
    <w:name w:val="B1"/>
    <w:basedOn w:val="a7"/>
    <w:qFormat/>
  </w:style>
  <w:style w:type="character" w:customStyle="1" w:styleId="a6">
    <w:name w:val="批注文字 字符"/>
    <w:basedOn w:val="a1"/>
    <w:link w:val="a5"/>
    <w:semiHidden/>
    <w:qFormat/>
    <w:rPr>
      <w:rFonts w:ascii="Arial" w:hAnsi="Arial"/>
      <w:lang w:val="en-GB" w:eastAsia="en-US"/>
    </w:rPr>
  </w:style>
  <w:style w:type="character" w:customStyle="1" w:styleId="ae">
    <w:name w:val="批注主题 字符"/>
    <w:basedOn w:val="a6"/>
    <w:link w:val="ad"/>
    <w:uiPriority w:val="99"/>
    <w:semiHidden/>
    <w:qFormat/>
    <w:rPr>
      <w:rFonts w:ascii="Arial" w:hAnsi="Arial"/>
      <w:b/>
      <w:bCs/>
      <w:lang w:val="en-GB" w:eastAsia="en-US"/>
    </w:rPr>
  </w:style>
  <w:style w:type="paragraph" w:customStyle="1" w:styleId="TAN">
    <w:name w:val="TAN"/>
    <w:basedOn w:val="a"/>
    <w:rsid w:val="00113ACA"/>
    <w:pPr>
      <w:keepNext/>
      <w:keepLines/>
      <w:widowControl w:val="0"/>
      <w:spacing w:before="100" w:beforeAutospacing="1" w:after="100" w:afterAutospacing="1"/>
      <w:ind w:left="851" w:hanging="851"/>
      <w:jc w:val="left"/>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075">
      <w:bodyDiv w:val="1"/>
      <w:marLeft w:val="0"/>
      <w:marRight w:val="0"/>
      <w:marTop w:val="0"/>
      <w:marBottom w:val="0"/>
      <w:divBdr>
        <w:top w:val="none" w:sz="0" w:space="0" w:color="auto"/>
        <w:left w:val="none" w:sz="0" w:space="0" w:color="auto"/>
        <w:bottom w:val="none" w:sz="0" w:space="0" w:color="auto"/>
        <w:right w:val="none" w:sz="0" w:space="0" w:color="auto"/>
      </w:divBdr>
    </w:div>
    <w:div w:id="806817921">
      <w:bodyDiv w:val="1"/>
      <w:marLeft w:val="0"/>
      <w:marRight w:val="0"/>
      <w:marTop w:val="0"/>
      <w:marBottom w:val="0"/>
      <w:divBdr>
        <w:top w:val="none" w:sz="0" w:space="0" w:color="auto"/>
        <w:left w:val="none" w:sz="0" w:space="0" w:color="auto"/>
        <w:bottom w:val="none" w:sz="0" w:space="0" w:color="auto"/>
        <w:right w:val="none" w:sz="0" w:space="0" w:color="auto"/>
      </w:divBdr>
    </w:div>
    <w:div w:id="93632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A1308-19CE-4DFD-89B3-8112179B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Pages>
  <Words>445</Words>
  <Characters>2539</Characters>
  <Application>Microsoft Office Word</Application>
  <DocSecurity>0</DocSecurity>
  <Lines>21</Lines>
  <Paragraphs>5</Paragraphs>
  <ScaleCrop>false</ScaleCrop>
  <Company>ZTE Corporation</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73</cp:revision>
  <cp:lastPrinted>2002-04-23T01:10:00Z</cp:lastPrinted>
  <dcterms:created xsi:type="dcterms:W3CDTF">2022-10-06T13:14:00Z</dcterms:created>
  <dcterms:modified xsi:type="dcterms:W3CDTF">2025-05-09T07:08:00Z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